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A0D6F" w14:textId="58E56ED2" w:rsidR="00572224" w:rsidRPr="00EA1012" w:rsidRDefault="00987EBE" w:rsidP="00572224">
      <w:pPr>
        <w:jc w:val="center"/>
        <w:rPr>
          <w:rFonts w:ascii="Garamond" w:hAnsi="Garamond"/>
          <w:b/>
          <w:sz w:val="22"/>
          <w:szCs w:val="22"/>
        </w:rPr>
      </w:pPr>
      <w:r w:rsidRPr="00EA1012">
        <w:rPr>
          <w:rFonts w:ascii="Garamond" w:hAnsi="Garamond"/>
          <w:sz w:val="22"/>
          <w:szCs w:val="22"/>
          <w:highlight w:val="yellow"/>
        </w:rPr>
        <w:t>[●]</w:t>
      </w:r>
      <w:r w:rsidRPr="00987EBE">
        <w:rPr>
          <w:rFonts w:ascii="Garamond" w:hAnsi="Garamond"/>
          <w:sz w:val="22"/>
          <w:szCs w:val="22"/>
        </w:rPr>
        <w:t xml:space="preserve"> </w:t>
      </w:r>
      <w:r w:rsidR="00377899" w:rsidRPr="00377899">
        <w:rPr>
          <w:rFonts w:ascii="Garamond" w:hAnsi="Garamond"/>
          <w:b/>
          <w:sz w:val="22"/>
          <w:szCs w:val="22"/>
        </w:rPr>
        <w:t>ALIM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0592875F" w:rsidR="00572224" w:rsidRDefault="00572224" w:rsidP="00572224">
      <w:pPr>
        <w:jc w:val="both"/>
        <w:outlineLvl w:val="0"/>
        <w:rPr>
          <w:rFonts w:ascii="Garamond" w:hAnsi="Garamond"/>
          <w:b/>
          <w:sz w:val="22"/>
          <w:szCs w:val="22"/>
        </w:rPr>
      </w:pPr>
    </w:p>
    <w:p w14:paraId="615FF956" w14:textId="77777777" w:rsidR="00202EBA" w:rsidRPr="00EA1012" w:rsidRDefault="00202EBA"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07A13E64" w:rsidR="00572224" w:rsidRPr="00EA1012" w:rsidRDefault="00572224" w:rsidP="003A060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377899">
        <w:rPr>
          <w:rFonts w:ascii="Garamond" w:hAnsi="Garamond"/>
          <w:sz w:val="22"/>
          <w:szCs w:val="22"/>
          <w:lang w:eastAsia="ar-SA"/>
        </w:rPr>
        <w:t xml:space="preserve">Teknik Şartname </w:t>
      </w:r>
      <w:r w:rsidR="00B0156C">
        <w:rPr>
          <w:rFonts w:ascii="Garamond" w:hAnsi="Garamond"/>
          <w:sz w:val="22"/>
          <w:szCs w:val="22"/>
          <w:lang w:eastAsia="ar-SA"/>
        </w:rPr>
        <w:t>(EK-</w:t>
      </w:r>
      <w:r w:rsidR="00377899">
        <w:rPr>
          <w:rFonts w:ascii="Garamond" w:hAnsi="Garamond"/>
          <w:sz w:val="22"/>
          <w:szCs w:val="22"/>
          <w:lang w:eastAsia="ar-SA"/>
        </w:rPr>
        <w:t>1</w:t>
      </w:r>
      <w:r w:rsidR="00B0156C">
        <w:rPr>
          <w:rFonts w:ascii="Garamond" w:hAnsi="Garamond"/>
          <w:sz w:val="22"/>
          <w:szCs w:val="22"/>
          <w:lang w:eastAsia="ar-SA"/>
        </w:rPr>
        <w:t xml:space="preserve">) </w:t>
      </w:r>
      <w:r w:rsidR="00377899">
        <w:rPr>
          <w:rFonts w:ascii="Garamond" w:hAnsi="Garamond"/>
          <w:sz w:val="22"/>
          <w:szCs w:val="22"/>
          <w:lang w:eastAsia="ar-SA"/>
        </w:rPr>
        <w:t xml:space="preserve">ayrıntıları ile </w:t>
      </w:r>
      <w:r w:rsidR="003A0604">
        <w:rPr>
          <w:rFonts w:ascii="Garamond" w:hAnsi="Garamond"/>
          <w:sz w:val="22"/>
          <w:szCs w:val="22"/>
          <w:lang w:eastAsia="ar-SA"/>
        </w:rPr>
        <w:t>belirtilen</w:t>
      </w:r>
      <w:r w:rsidR="00C30E62">
        <w:rPr>
          <w:rFonts w:ascii="Garamond" w:hAnsi="Garamond"/>
          <w:sz w:val="22"/>
          <w:szCs w:val="22"/>
          <w:lang w:eastAsia="ar-SA"/>
        </w:rPr>
        <w:t xml:space="preserve"> </w:t>
      </w:r>
      <w:r w:rsidR="00BD6247" w:rsidRPr="00EA1012">
        <w:rPr>
          <w:rFonts w:ascii="Garamond" w:hAnsi="Garamond"/>
          <w:sz w:val="22"/>
          <w:szCs w:val="22"/>
          <w:highlight w:val="yellow"/>
        </w:rPr>
        <w:t>[●]</w:t>
      </w:r>
      <w:r w:rsidR="003A0604">
        <w:rPr>
          <w:rFonts w:ascii="Garamond" w:hAnsi="Garamond"/>
          <w:sz w:val="22"/>
          <w:szCs w:val="22"/>
          <w:lang w:eastAsia="ar-SA"/>
        </w:rPr>
        <w:t xml:space="preserve"> </w:t>
      </w:r>
      <w:r w:rsidR="00BD6247">
        <w:rPr>
          <w:rFonts w:ascii="Garamond" w:hAnsi="Garamond"/>
          <w:sz w:val="22"/>
          <w:szCs w:val="22"/>
          <w:lang w:eastAsia="ar-SA"/>
        </w:rPr>
        <w:t xml:space="preserve">adet </w:t>
      </w:r>
      <w:r w:rsidR="00834989" w:rsidRPr="00EA1012">
        <w:rPr>
          <w:rFonts w:ascii="Garamond" w:hAnsi="Garamond"/>
          <w:sz w:val="22"/>
          <w:szCs w:val="22"/>
          <w:highlight w:val="yellow"/>
        </w:rPr>
        <w:t>[●]</w:t>
      </w:r>
      <w:r w:rsidR="00834989">
        <w:rPr>
          <w:rFonts w:ascii="Garamond" w:hAnsi="Garamond"/>
          <w:sz w:val="22"/>
          <w:szCs w:val="22"/>
        </w:rPr>
        <w:t xml:space="preserve"> </w:t>
      </w:r>
      <w:r>
        <w:rPr>
          <w:rFonts w:ascii="Garamond" w:hAnsi="Garamond"/>
          <w:sz w:val="22"/>
          <w:szCs w:val="22"/>
        </w:rPr>
        <w:t>(“Ürün”</w:t>
      </w:r>
      <w:r w:rsidR="00BB3855">
        <w:rPr>
          <w:rFonts w:ascii="Garamond" w:hAnsi="Garamond"/>
          <w:sz w:val="22"/>
          <w:szCs w:val="22"/>
        </w:rPr>
        <w:t xml:space="preserve"> veya “Ürünler”</w:t>
      </w:r>
      <w:r>
        <w:rPr>
          <w:rFonts w:ascii="Garamond" w:hAnsi="Garamond"/>
          <w:sz w:val="22"/>
          <w:szCs w:val="22"/>
        </w:rPr>
        <w:t xml:space="preserve">)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39ED506E" w:rsidR="00572224" w:rsidRDefault="00572224" w:rsidP="00572224">
      <w:pPr>
        <w:jc w:val="both"/>
        <w:rPr>
          <w:rFonts w:ascii="Garamond" w:hAnsi="Garamond"/>
          <w:sz w:val="22"/>
          <w:szCs w:val="22"/>
          <w:lang w:eastAsia="ar-SA"/>
        </w:rPr>
      </w:pPr>
    </w:p>
    <w:p w14:paraId="60334CEC" w14:textId="77777777" w:rsidR="00202EBA" w:rsidRPr="00EA1012" w:rsidRDefault="00202EBA"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6BF72FBE" w:rsidR="00572224" w:rsidRPr="00EA1012" w:rsidRDefault="00572224" w:rsidP="00572224">
      <w:pPr>
        <w:numPr>
          <w:ilvl w:val="1"/>
          <w:numId w:val="2"/>
        </w:numPr>
        <w:ind w:left="540" w:hanging="540"/>
        <w:jc w:val="both"/>
        <w:rPr>
          <w:rFonts w:ascii="Garamond" w:hAnsi="Garamond"/>
          <w:sz w:val="22"/>
          <w:szCs w:val="22"/>
        </w:rPr>
      </w:pPr>
      <w:r>
        <w:rPr>
          <w:rFonts w:ascii="Garamond" w:hAnsi="Garamond"/>
          <w:sz w:val="22"/>
          <w:szCs w:val="22"/>
        </w:rPr>
        <w:t>İşbu sözleşme</w:t>
      </w:r>
      <w:r w:rsidR="00C929EA">
        <w:rPr>
          <w:rFonts w:ascii="Garamond" w:hAnsi="Garamond"/>
          <w:sz w:val="22"/>
          <w:szCs w:val="22"/>
        </w:rPr>
        <w:t xml:space="preserve"> imza</w:t>
      </w:r>
      <w:r w:rsidRPr="007F1809">
        <w:rPr>
          <w:rFonts w:ascii="Garamond" w:hAnsi="Garamond"/>
          <w:sz w:val="22"/>
          <w:szCs w:val="22"/>
        </w:rPr>
        <w:t xml:space="preserve"> tarihinde</w:t>
      </w:r>
      <w:r>
        <w:rPr>
          <w:rFonts w:ascii="Garamond" w:hAnsi="Garamond"/>
          <w:sz w:val="22"/>
          <w:szCs w:val="22"/>
        </w:rPr>
        <w:t xml:space="preserve"> yürürlüğe girecek olup</w:t>
      </w:r>
      <w:r w:rsidR="00C929EA">
        <w:rPr>
          <w:rFonts w:ascii="Garamond" w:hAnsi="Garamond"/>
          <w:sz w:val="22"/>
          <w:szCs w:val="22"/>
        </w:rPr>
        <w:t xml:space="preserve"> tarafların karşılıklı yükümlülüklerini yerine getirmesi akabinde</w:t>
      </w:r>
      <w:r w:rsidRPr="007F1809">
        <w:rPr>
          <w:rFonts w:ascii="Garamond" w:hAnsi="Garamond"/>
          <w:sz w:val="22"/>
          <w:szCs w:val="22"/>
        </w:rPr>
        <w:t xml:space="preserve"> </w:t>
      </w:r>
      <w:r>
        <w:rPr>
          <w:rFonts w:ascii="Garamond" w:hAnsi="Garamond"/>
          <w:sz w:val="22"/>
          <w:szCs w:val="22"/>
        </w:rPr>
        <w:t>hiçbir bildirime gerek kalmaksızın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0D3BE54A"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w:t>
      </w:r>
      <w:r w:rsidR="00BB3855">
        <w:rPr>
          <w:rFonts w:ascii="Garamond" w:hAnsi="Garamond"/>
          <w:sz w:val="22"/>
          <w:szCs w:val="22"/>
        </w:rPr>
        <w:t>ve/</w:t>
      </w:r>
      <w:r w:rsidRPr="00EA1012">
        <w:rPr>
          <w:rFonts w:ascii="Garamond" w:hAnsi="Garamond"/>
          <w:sz w:val="22"/>
          <w:szCs w:val="22"/>
        </w:rPr>
        <w:t>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60E5D21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w:t>
      </w:r>
      <w:r w:rsidR="00834989">
        <w:rPr>
          <w:rFonts w:ascii="Garamond" w:hAnsi="Garamond"/>
          <w:sz w:val="22"/>
          <w:szCs w:val="22"/>
        </w:rPr>
        <w:t>bir</w:t>
      </w:r>
      <w:r w:rsidRPr="00EA1012">
        <w:rPr>
          <w:rFonts w:ascii="Garamond" w:hAnsi="Garamond"/>
          <w:sz w:val="22"/>
          <w:szCs w:val="22"/>
        </w:rPr>
        <w:t xml:space="preserve">) </w:t>
      </w:r>
      <w:r w:rsidR="00834989">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r w:rsidR="00245AAD">
        <w:rPr>
          <w:rFonts w:ascii="Garamond" w:hAnsi="Garamond"/>
          <w:sz w:val="22"/>
          <w:szCs w:val="22"/>
        </w:rPr>
        <w:t xml:space="preserve"> </w:t>
      </w:r>
      <w:r w:rsidR="00245AAD" w:rsidRPr="00245AAD">
        <w:rPr>
          <w:rFonts w:ascii="Garamond" w:hAnsi="Garamond"/>
          <w:sz w:val="22"/>
          <w:szCs w:val="22"/>
        </w:rPr>
        <w:t>FİRMA, işbu iptallerden dolayı doğacak 3. şahıs tazminatlarını üstlenecek ve BİLGİ’ ye rücu etmeyecektir.</w:t>
      </w:r>
    </w:p>
    <w:p w14:paraId="5BC3260B" w14:textId="742655FC" w:rsidR="00572224" w:rsidRDefault="00572224" w:rsidP="00572224">
      <w:pPr>
        <w:jc w:val="both"/>
        <w:outlineLvl w:val="0"/>
        <w:rPr>
          <w:rFonts w:ascii="Garamond" w:hAnsi="Garamond"/>
          <w:b/>
          <w:sz w:val="22"/>
          <w:szCs w:val="22"/>
        </w:rPr>
      </w:pPr>
    </w:p>
    <w:p w14:paraId="7DBD87C0" w14:textId="77777777" w:rsidR="00202EBA" w:rsidRPr="00EA1012" w:rsidRDefault="00202EBA"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7860F78F" w14:textId="3B06136C" w:rsidR="00834989" w:rsidRDefault="004A1EE3" w:rsidP="00834989">
      <w:pPr>
        <w:numPr>
          <w:ilvl w:val="0"/>
          <w:numId w:val="1"/>
        </w:numPr>
        <w:ind w:left="567" w:hanging="540"/>
        <w:jc w:val="both"/>
        <w:rPr>
          <w:rFonts w:ascii="Garamond" w:hAnsi="Garamond"/>
          <w:sz w:val="22"/>
          <w:szCs w:val="22"/>
        </w:rPr>
      </w:pPr>
      <w:r>
        <w:rPr>
          <w:rFonts w:ascii="Garamond" w:hAnsi="Garamond"/>
          <w:sz w:val="22"/>
          <w:szCs w:val="22"/>
        </w:rPr>
        <w:t>FİRMA</w:t>
      </w:r>
      <w:r w:rsidR="00E467B7">
        <w:rPr>
          <w:rFonts w:ascii="Garamond" w:hAnsi="Garamond"/>
          <w:sz w:val="22"/>
          <w:szCs w:val="22"/>
        </w:rPr>
        <w:t xml:space="preserve">, işbu sözleşme konusu </w:t>
      </w:r>
      <w:r>
        <w:rPr>
          <w:rFonts w:ascii="Garamond" w:hAnsi="Garamond"/>
          <w:sz w:val="22"/>
          <w:szCs w:val="22"/>
        </w:rPr>
        <w:t xml:space="preserve">ürünler için sipariş tarihinden itibaren 3 (üç) </w:t>
      </w:r>
      <w:r w:rsidR="00FC17C5">
        <w:rPr>
          <w:rFonts w:ascii="Garamond" w:hAnsi="Garamond"/>
          <w:sz w:val="22"/>
          <w:szCs w:val="22"/>
        </w:rPr>
        <w:t>gün</w:t>
      </w:r>
      <w:r>
        <w:rPr>
          <w:rFonts w:ascii="Garamond" w:hAnsi="Garamond"/>
          <w:sz w:val="22"/>
          <w:szCs w:val="22"/>
        </w:rPr>
        <w:t xml:space="preserve"> içerisinde </w:t>
      </w:r>
      <w:r w:rsidR="00E467B7">
        <w:rPr>
          <w:rFonts w:ascii="Garamond" w:hAnsi="Garamond"/>
          <w:sz w:val="22"/>
          <w:szCs w:val="22"/>
        </w:rPr>
        <w:t xml:space="preserve">detayları teknik şartnamede belirtilen </w:t>
      </w:r>
      <w:r>
        <w:rPr>
          <w:rFonts w:ascii="Garamond" w:hAnsi="Garamond"/>
          <w:sz w:val="22"/>
          <w:szCs w:val="22"/>
        </w:rPr>
        <w:t>niteliklere sahip ürün örneklerini</w:t>
      </w:r>
      <w:r w:rsidR="00E467B7">
        <w:rPr>
          <w:rFonts w:ascii="Garamond" w:hAnsi="Garamond"/>
          <w:sz w:val="22"/>
          <w:szCs w:val="22"/>
        </w:rPr>
        <w:t xml:space="preserve"> BİLGİ ile</w:t>
      </w:r>
      <w:r>
        <w:rPr>
          <w:rFonts w:ascii="Garamond" w:hAnsi="Garamond"/>
          <w:sz w:val="22"/>
          <w:szCs w:val="22"/>
        </w:rPr>
        <w:t xml:space="preserve"> paylaşacaktır. Ürünlerin istenilen standart ve nitelikte olmadığının BİLGİ tarafından tespit edilmesi akabinde, FİRMA BİLGİ’nin talepleri doğrultusunda yeni örnekleri hazırlamakla yükümlüdür. </w:t>
      </w:r>
    </w:p>
    <w:p w14:paraId="7323F46B" w14:textId="77777777" w:rsidR="00834989" w:rsidRDefault="00834989" w:rsidP="00834989">
      <w:pPr>
        <w:ind w:left="567"/>
        <w:jc w:val="both"/>
        <w:rPr>
          <w:rFonts w:ascii="Garamond" w:hAnsi="Garamond"/>
          <w:sz w:val="22"/>
          <w:szCs w:val="22"/>
        </w:rPr>
      </w:pPr>
    </w:p>
    <w:p w14:paraId="012FEA34" w14:textId="2473558C" w:rsidR="00572224" w:rsidRPr="00834989" w:rsidRDefault="004A1EE3" w:rsidP="00834989">
      <w:pPr>
        <w:numPr>
          <w:ilvl w:val="0"/>
          <w:numId w:val="1"/>
        </w:numPr>
        <w:ind w:left="567" w:hanging="540"/>
        <w:jc w:val="both"/>
        <w:rPr>
          <w:rFonts w:ascii="Garamond" w:hAnsi="Garamond"/>
          <w:sz w:val="22"/>
          <w:szCs w:val="22"/>
        </w:rPr>
      </w:pPr>
      <w:r w:rsidRPr="00834989">
        <w:rPr>
          <w:rFonts w:ascii="Garamond" w:hAnsi="Garamond"/>
          <w:sz w:val="22"/>
          <w:szCs w:val="22"/>
        </w:rPr>
        <w:t>BİLGİ tarafından örnek</w:t>
      </w:r>
      <w:r w:rsidR="00E467B7" w:rsidRPr="00834989">
        <w:rPr>
          <w:rFonts w:ascii="Garamond" w:hAnsi="Garamond"/>
          <w:sz w:val="22"/>
          <w:szCs w:val="22"/>
        </w:rPr>
        <w:t xml:space="preserve">lerin </w:t>
      </w:r>
      <w:r w:rsidRPr="00834989">
        <w:rPr>
          <w:rFonts w:ascii="Garamond" w:hAnsi="Garamond"/>
          <w:sz w:val="22"/>
          <w:szCs w:val="22"/>
        </w:rPr>
        <w:t>uygun bulunması halinde</w:t>
      </w:r>
      <w:r w:rsidR="00E467B7" w:rsidRPr="00834989">
        <w:rPr>
          <w:rFonts w:ascii="Garamond" w:hAnsi="Garamond"/>
          <w:sz w:val="22"/>
          <w:szCs w:val="22"/>
        </w:rPr>
        <w:t>, FİRMA</w:t>
      </w:r>
      <w:r w:rsidRPr="00834989">
        <w:rPr>
          <w:rFonts w:ascii="Garamond" w:hAnsi="Garamond"/>
          <w:sz w:val="22"/>
          <w:szCs w:val="22"/>
        </w:rPr>
        <w:t xml:space="preserve"> sipariş tarihinden itibaren</w:t>
      </w:r>
      <w:r w:rsidR="00572224" w:rsidRPr="00834989">
        <w:rPr>
          <w:rFonts w:ascii="Garamond" w:hAnsi="Garamond"/>
          <w:sz w:val="22"/>
          <w:szCs w:val="22"/>
        </w:rPr>
        <w:t xml:space="preserve"> </w:t>
      </w:r>
      <w:r w:rsidR="00834989" w:rsidRPr="00834989">
        <w:rPr>
          <w:rFonts w:ascii="Garamond" w:hAnsi="Garamond"/>
          <w:sz w:val="22"/>
          <w:szCs w:val="22"/>
        </w:rPr>
        <w:t>4</w:t>
      </w:r>
      <w:r w:rsidR="00572224" w:rsidRPr="00834989">
        <w:rPr>
          <w:rFonts w:ascii="Garamond" w:hAnsi="Garamond"/>
          <w:sz w:val="22"/>
          <w:szCs w:val="22"/>
        </w:rPr>
        <w:t xml:space="preserve"> </w:t>
      </w:r>
      <w:r w:rsidR="000D6485">
        <w:rPr>
          <w:rFonts w:ascii="Garamond" w:hAnsi="Garamond"/>
          <w:sz w:val="22"/>
          <w:szCs w:val="22"/>
        </w:rPr>
        <w:t xml:space="preserve"> ile 6 </w:t>
      </w:r>
      <w:r w:rsidR="00572224" w:rsidRPr="00834989">
        <w:rPr>
          <w:rFonts w:ascii="Garamond" w:hAnsi="Garamond"/>
          <w:sz w:val="22"/>
          <w:szCs w:val="22"/>
        </w:rPr>
        <w:t>(</w:t>
      </w:r>
      <w:r w:rsidR="00834989" w:rsidRPr="00834989">
        <w:rPr>
          <w:rFonts w:ascii="Garamond" w:hAnsi="Garamond"/>
          <w:sz w:val="22"/>
          <w:szCs w:val="22"/>
        </w:rPr>
        <w:t>dört</w:t>
      </w:r>
      <w:r w:rsidR="000D6485">
        <w:rPr>
          <w:rFonts w:ascii="Garamond" w:hAnsi="Garamond"/>
          <w:sz w:val="22"/>
          <w:szCs w:val="22"/>
        </w:rPr>
        <w:t xml:space="preserve"> ile 6</w:t>
      </w:r>
      <w:bookmarkStart w:id="1" w:name="_GoBack"/>
      <w:bookmarkEnd w:id="1"/>
      <w:r w:rsidR="00572224" w:rsidRPr="00834989">
        <w:rPr>
          <w:rFonts w:ascii="Garamond" w:hAnsi="Garamond"/>
          <w:sz w:val="22"/>
          <w:szCs w:val="22"/>
        </w:rPr>
        <w:t xml:space="preserve">) </w:t>
      </w:r>
      <w:r w:rsidR="00C929EA" w:rsidRPr="00834989">
        <w:rPr>
          <w:rFonts w:ascii="Garamond" w:hAnsi="Garamond"/>
          <w:sz w:val="22"/>
          <w:szCs w:val="22"/>
        </w:rPr>
        <w:t xml:space="preserve">hafta </w:t>
      </w:r>
      <w:r w:rsidR="00572224" w:rsidRPr="00834989">
        <w:rPr>
          <w:rFonts w:ascii="Garamond" w:hAnsi="Garamond"/>
          <w:sz w:val="22"/>
          <w:szCs w:val="22"/>
        </w:rPr>
        <w:t xml:space="preserve">içerisinde </w:t>
      </w:r>
      <w:r w:rsidR="00E467B7" w:rsidRPr="00834989">
        <w:rPr>
          <w:rFonts w:ascii="Garamond" w:hAnsi="Garamond"/>
          <w:sz w:val="22"/>
          <w:szCs w:val="22"/>
        </w:rPr>
        <w:t xml:space="preserve">tüm ürünleri </w:t>
      </w:r>
      <w:r w:rsidR="00572224" w:rsidRPr="00834989">
        <w:rPr>
          <w:rFonts w:ascii="Garamond" w:hAnsi="Garamond"/>
          <w:sz w:val="22"/>
          <w:szCs w:val="22"/>
        </w:rPr>
        <w:t>BİLGİ’</w:t>
      </w:r>
      <w:r w:rsidR="00834989" w:rsidRPr="00834989">
        <w:rPr>
          <w:rFonts w:ascii="Garamond" w:hAnsi="Garamond"/>
          <w:sz w:val="22"/>
          <w:szCs w:val="22"/>
        </w:rPr>
        <w:t>nin santralistanbul</w:t>
      </w:r>
      <w:r w:rsidR="004064B5">
        <w:rPr>
          <w:rFonts w:ascii="Garamond" w:hAnsi="Garamond"/>
          <w:sz w:val="22"/>
          <w:szCs w:val="22"/>
        </w:rPr>
        <w:t xml:space="preserve"> </w:t>
      </w:r>
      <w:r w:rsidR="00834989">
        <w:rPr>
          <w:rFonts w:ascii="Garamond" w:hAnsi="Garamond"/>
          <w:sz w:val="22"/>
          <w:szCs w:val="22"/>
        </w:rPr>
        <w:t>kampüsüne teslim edecektir.</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7F9D57CC" w14:textId="69F0AEDF" w:rsidR="00BE3353" w:rsidRDefault="00BE3353" w:rsidP="00BE3353">
      <w:pPr>
        <w:numPr>
          <w:ilvl w:val="0"/>
          <w:numId w:val="1"/>
        </w:numPr>
        <w:ind w:left="540" w:hanging="540"/>
        <w:jc w:val="both"/>
        <w:rPr>
          <w:rFonts w:ascii="Garamond" w:hAnsi="Garamond"/>
          <w:sz w:val="22"/>
          <w:szCs w:val="22"/>
        </w:rPr>
      </w:pPr>
      <w:r w:rsidRPr="009C7430">
        <w:rPr>
          <w:rFonts w:ascii="Garamond" w:hAnsi="Garamond"/>
          <w:sz w:val="22"/>
          <w:szCs w:val="22"/>
        </w:rPr>
        <w:t>FİRMA, işbu sözleşmenin eki olan BİLGİ’nin Tedarikçilere Yönelik Davranış ve Etik Kodu</w:t>
      </w:r>
      <w:r>
        <w:rPr>
          <w:rFonts w:ascii="Garamond" w:hAnsi="Garamond"/>
          <w:sz w:val="22"/>
          <w:szCs w:val="22"/>
        </w:rPr>
        <w:t xml:space="preserve"> (EK-4)</w:t>
      </w:r>
      <w:r w:rsidRPr="009C7430">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523E182E" w14:textId="77777777" w:rsidR="00BE3353" w:rsidRDefault="00BE3353" w:rsidP="00BE3353">
      <w:pPr>
        <w:pStyle w:val="ListParagraph"/>
        <w:rPr>
          <w:rFonts w:ascii="Garamond" w:hAnsi="Garamond"/>
          <w:sz w:val="22"/>
          <w:szCs w:val="22"/>
        </w:rPr>
      </w:pPr>
    </w:p>
    <w:p w14:paraId="33328C48" w14:textId="77777777" w:rsidR="00BE3353" w:rsidRPr="007F55B5" w:rsidRDefault="00BE3353" w:rsidP="00BE3353">
      <w:pPr>
        <w:numPr>
          <w:ilvl w:val="0"/>
          <w:numId w:val="1"/>
        </w:numPr>
        <w:ind w:left="540" w:hanging="540"/>
        <w:jc w:val="both"/>
        <w:rPr>
          <w:rFonts w:ascii="Garamond" w:hAnsi="Garamond"/>
          <w:sz w:val="22"/>
          <w:szCs w:val="22"/>
        </w:rPr>
      </w:pPr>
      <w:r w:rsidRPr="007F55B5">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5</w:t>
      </w:r>
      <w:r w:rsidRPr="007F55B5">
        <w:rPr>
          <w:rFonts w:ascii="Garamond" w:hAnsi="Garamond"/>
          <w:sz w:val="22"/>
          <w:szCs w:val="22"/>
        </w:rPr>
        <w:t>) belirtilen kurallara ve yine BİLGİ’nin Hediyeler, Yemekler, Eğlenceler, Sponsorlu Seyahatler ve diğer İş İkramlarına İlişkin İlkeleri’ne (EK-</w:t>
      </w:r>
      <w:r>
        <w:rPr>
          <w:rFonts w:ascii="Garamond" w:hAnsi="Garamond"/>
          <w:sz w:val="22"/>
          <w:szCs w:val="22"/>
        </w:rPr>
        <w:t>6</w:t>
      </w:r>
      <w:r w:rsidRPr="007F55B5">
        <w:rPr>
          <w:rFonts w:ascii="Garamond" w:hAnsi="Garamond"/>
          <w:sz w:val="22"/>
          <w:szCs w:val="22"/>
        </w:rPr>
        <w:t>) uygun olarak faaliyetlerini yürütmeyi, aksine hareket edilmesi halinin sözleşmenin feshi sebebi sayılacağını bildiğini kabul, beyan ve taahhüt eder.</w:t>
      </w:r>
    </w:p>
    <w:p w14:paraId="62470C00" w14:textId="6B0DBD78" w:rsidR="00572224" w:rsidRDefault="00572224" w:rsidP="00572224">
      <w:pPr>
        <w:tabs>
          <w:tab w:val="left" w:pos="630"/>
        </w:tabs>
        <w:jc w:val="both"/>
        <w:rPr>
          <w:rFonts w:ascii="Garamond" w:hAnsi="Garamond"/>
          <w:sz w:val="22"/>
          <w:szCs w:val="22"/>
        </w:rPr>
      </w:pPr>
    </w:p>
    <w:p w14:paraId="092A9404" w14:textId="77777777" w:rsidR="00202EBA" w:rsidRPr="00EA1012" w:rsidRDefault="00202EBA"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29392A17" w14:textId="5111A651" w:rsidR="00245AAD" w:rsidRDefault="00245AAD" w:rsidP="00245AAD">
      <w:pPr>
        <w:numPr>
          <w:ilvl w:val="0"/>
          <w:numId w:val="3"/>
        </w:numPr>
        <w:ind w:left="540" w:hanging="540"/>
        <w:jc w:val="both"/>
        <w:rPr>
          <w:rFonts w:ascii="Garamond" w:hAnsi="Garamond"/>
          <w:sz w:val="22"/>
          <w:szCs w:val="22"/>
        </w:rPr>
      </w:pPr>
      <w:r w:rsidRPr="00C84C2A">
        <w:rPr>
          <w:rFonts w:ascii="Garamond" w:hAnsi="Garamond"/>
          <w:sz w:val="22"/>
          <w:szCs w:val="22"/>
        </w:rPr>
        <w:t xml:space="preserve">BİLGİ, işbu sözleşme konusu ürünler için toplam </w:t>
      </w:r>
      <w:r w:rsidRPr="00C84C2A">
        <w:rPr>
          <w:rFonts w:ascii="Garamond" w:hAnsi="Garamond"/>
          <w:sz w:val="22"/>
          <w:szCs w:val="22"/>
          <w:highlight w:val="yellow"/>
        </w:rPr>
        <w:t>[●]</w:t>
      </w:r>
      <w:r w:rsidRPr="00C84C2A">
        <w:rPr>
          <w:rFonts w:ascii="Garamond" w:hAnsi="Garamond"/>
          <w:sz w:val="22"/>
          <w:szCs w:val="22"/>
        </w:rPr>
        <w:t xml:space="preserve"> TL (</w:t>
      </w:r>
      <w:r w:rsidRPr="00C84C2A">
        <w:rPr>
          <w:rFonts w:ascii="Garamond" w:hAnsi="Garamond"/>
          <w:sz w:val="22"/>
          <w:szCs w:val="22"/>
          <w:highlight w:val="yellow"/>
        </w:rPr>
        <w:t>[●]</w:t>
      </w:r>
      <w:r w:rsidRPr="00C84C2A">
        <w:rPr>
          <w:rFonts w:ascii="Garamond" w:hAnsi="Garamond"/>
          <w:sz w:val="22"/>
          <w:szCs w:val="22"/>
        </w:rPr>
        <w:t xml:space="preserve"> Türk Lirası) + KDV ödemeyi kabul ve taahhüt etmektedir. FİRMA ürünlerin eksiksiz ve tam olarak BİLGİ’ye teslim edilmesinin akabinde, </w:t>
      </w:r>
      <w:r w:rsidRPr="00C84C2A">
        <w:rPr>
          <w:rFonts w:ascii="Garamond" w:hAnsi="Garamond"/>
          <w:sz w:val="22"/>
          <w:szCs w:val="22"/>
          <w:highlight w:val="yellow"/>
        </w:rPr>
        <w:t>[●]</w:t>
      </w:r>
      <w:r w:rsidRPr="00C84C2A">
        <w:rPr>
          <w:rFonts w:ascii="Garamond" w:hAnsi="Garamond"/>
          <w:sz w:val="22"/>
          <w:szCs w:val="22"/>
        </w:rPr>
        <w:t xml:space="preserve"> TL + KDV tutarında fatura düzenleyecektir.</w:t>
      </w:r>
    </w:p>
    <w:p w14:paraId="2D265E26" w14:textId="77777777" w:rsidR="00245AAD" w:rsidRDefault="00245AAD" w:rsidP="00245AAD">
      <w:pPr>
        <w:ind w:left="540"/>
        <w:jc w:val="both"/>
        <w:rPr>
          <w:rFonts w:ascii="Garamond" w:hAnsi="Garamond"/>
          <w:sz w:val="22"/>
          <w:szCs w:val="22"/>
        </w:rPr>
      </w:pPr>
    </w:p>
    <w:p w14:paraId="6C27E1E3" w14:textId="1AE4C707" w:rsid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 xml:space="preserve">Ödeme, fatura kesim tarihinden 45 gün sonraki BİLGİ’nin ilk tedarikçi ödeme günü olan cuma günü Tedarikçi Bilgi Fromu ile BİLGİ’ye iletilmiş banka hesabına transfer yoluyla yapılacaktır. </w:t>
      </w:r>
    </w:p>
    <w:p w14:paraId="55B41E33" w14:textId="77777777" w:rsidR="00245AAD" w:rsidRDefault="00245AAD" w:rsidP="00245AAD">
      <w:pPr>
        <w:jc w:val="both"/>
        <w:rPr>
          <w:rFonts w:ascii="Garamond" w:hAnsi="Garamond"/>
          <w:sz w:val="22"/>
          <w:szCs w:val="22"/>
        </w:rPr>
      </w:pPr>
    </w:p>
    <w:p w14:paraId="1366CF43" w14:textId="77777777" w:rsidR="00834989" w:rsidRDefault="00245AAD" w:rsidP="00834989">
      <w:pPr>
        <w:numPr>
          <w:ilvl w:val="0"/>
          <w:numId w:val="3"/>
        </w:numPr>
        <w:ind w:left="540" w:hanging="540"/>
        <w:jc w:val="both"/>
        <w:rPr>
          <w:rFonts w:ascii="Garamond" w:hAnsi="Garamond"/>
          <w:sz w:val="22"/>
          <w:szCs w:val="22"/>
        </w:rPr>
      </w:pPr>
      <w:r w:rsidRPr="00245AAD">
        <w:rPr>
          <w:rFonts w:ascii="Garamond" w:hAnsi="Garamond"/>
          <w:sz w:val="22"/>
          <w:szCs w:val="22"/>
        </w:rPr>
        <w:t xml:space="preserve">BİLGİ ürünün eksik, hatalı, ayıplı gönderilmesi durumunda zararın tazminini ve yenisi ile değiştirilmesini ya da sözleşmenin feshini FİRMA’dan her zaman isteyebilir. </w:t>
      </w:r>
      <w:r w:rsidR="00AE4CFC" w:rsidRPr="00AE4CFC">
        <w:rPr>
          <w:rFonts w:ascii="Garamond" w:hAnsi="Garamond"/>
          <w:sz w:val="22"/>
          <w:szCs w:val="22"/>
        </w:rPr>
        <w:t>BİLGİ’nin, ayıplı ifadan kaynaklı menfi ve/veya müspet zararının ortaya çıkması halinde, FİRMA bu zararı tazmin etmekle yükümlüdür.</w:t>
      </w:r>
      <w:r w:rsidR="00AE4CFC" w:rsidRPr="00AE4CFC">
        <w:t xml:space="preserve"> </w:t>
      </w:r>
      <w:r w:rsidR="00AE4CFC" w:rsidRPr="00AE4CFC">
        <w:rPr>
          <w:rFonts w:ascii="Garamond" w:hAnsi="Garamond"/>
          <w:sz w:val="22"/>
          <w:szCs w:val="22"/>
        </w:rPr>
        <w:t>FİRMA, işbu iptallerden dolayı doğacak 3. şahıs tazminatlarını üstlenecek ve BİLGİ’ ye rücu etmeyecektir.</w:t>
      </w:r>
    </w:p>
    <w:p w14:paraId="6A29EF2A" w14:textId="77777777" w:rsidR="00834989" w:rsidRDefault="00834989" w:rsidP="00834989">
      <w:pPr>
        <w:pStyle w:val="ListParagraph"/>
        <w:rPr>
          <w:rFonts w:ascii="Garamond" w:hAnsi="Garamond"/>
          <w:sz w:val="22"/>
          <w:szCs w:val="22"/>
        </w:rPr>
      </w:pPr>
    </w:p>
    <w:p w14:paraId="22A78075" w14:textId="6C6DF0D9" w:rsidR="00834989" w:rsidRPr="00834989" w:rsidRDefault="00834989" w:rsidP="00834989">
      <w:pPr>
        <w:numPr>
          <w:ilvl w:val="0"/>
          <w:numId w:val="3"/>
        </w:numPr>
        <w:ind w:left="540" w:hanging="540"/>
        <w:jc w:val="both"/>
        <w:rPr>
          <w:rFonts w:ascii="Garamond" w:hAnsi="Garamond"/>
          <w:sz w:val="22"/>
          <w:szCs w:val="22"/>
        </w:rPr>
      </w:pPr>
      <w:r w:rsidRPr="00834989">
        <w:rPr>
          <w:rFonts w:ascii="Garamond" w:hAnsi="Garamond"/>
          <w:sz w:val="22"/>
          <w:szCs w:val="22"/>
        </w:rPr>
        <w:t>BİLGİ, sözleşmede belirtilen ürünlerin sipariş adetini arttırma ve eksiltme yetkisine sahip</w:t>
      </w:r>
      <w:r>
        <w:rPr>
          <w:rFonts w:ascii="Garamond" w:hAnsi="Garamond"/>
          <w:sz w:val="22"/>
          <w:szCs w:val="22"/>
        </w:rPr>
        <w:t xml:space="preserve"> olup adetler konusunda FİRMA’ya hiçbir taahhütte bulunmamaktadır.</w:t>
      </w:r>
    </w:p>
    <w:p w14:paraId="265C34E0" w14:textId="417D14D3" w:rsidR="00245AAD" w:rsidRDefault="00245AAD" w:rsidP="00245AAD">
      <w:pPr>
        <w:pStyle w:val="ListParagraph"/>
        <w:rPr>
          <w:rFonts w:ascii="Garamond" w:hAnsi="Garamond"/>
          <w:sz w:val="22"/>
          <w:szCs w:val="22"/>
        </w:rPr>
      </w:pPr>
    </w:p>
    <w:p w14:paraId="7694C568" w14:textId="77777777" w:rsidR="00202EBA" w:rsidRDefault="00202EBA" w:rsidP="00245AAD">
      <w:pPr>
        <w:pStyle w:val="ListParagraph"/>
        <w:rPr>
          <w:rFonts w:ascii="Garamond" w:hAnsi="Garamond"/>
          <w:sz w:val="22"/>
          <w:szCs w:val="22"/>
        </w:rPr>
      </w:pPr>
    </w:p>
    <w:p w14:paraId="78885C26" w14:textId="120EA6F9" w:rsidR="00245AAD" w:rsidRPr="00245AAD" w:rsidRDefault="00245AAD" w:rsidP="00245AAD">
      <w:pPr>
        <w:pStyle w:val="ListParagraph"/>
        <w:numPr>
          <w:ilvl w:val="0"/>
          <w:numId w:val="8"/>
        </w:numPr>
        <w:rPr>
          <w:rFonts w:ascii="Garamond" w:hAnsi="Garamond"/>
          <w:sz w:val="22"/>
          <w:szCs w:val="22"/>
        </w:rPr>
      </w:pPr>
      <w:r w:rsidRPr="00245AAD">
        <w:rPr>
          <w:rFonts w:ascii="Garamond" w:hAnsi="Garamond"/>
          <w:b/>
          <w:sz w:val="22"/>
          <w:szCs w:val="22"/>
        </w:rPr>
        <w:t>TEMİNAT MEKTUBU</w:t>
      </w:r>
    </w:p>
    <w:p w14:paraId="62FD3161" w14:textId="3A6538A9" w:rsidR="00245AAD" w:rsidRDefault="00245AAD" w:rsidP="00245AAD">
      <w:pPr>
        <w:jc w:val="both"/>
        <w:rPr>
          <w:rFonts w:ascii="Garamond" w:hAnsi="Garamond"/>
          <w:sz w:val="22"/>
          <w:szCs w:val="22"/>
        </w:rPr>
      </w:pPr>
    </w:p>
    <w:p w14:paraId="7F19D8F7" w14:textId="77777777" w:rsidR="00245AAD" w:rsidRPr="009C7430" w:rsidRDefault="00245AAD" w:rsidP="00245AAD">
      <w:pPr>
        <w:numPr>
          <w:ilvl w:val="1"/>
          <w:numId w:val="8"/>
        </w:numPr>
        <w:ind w:left="567" w:hanging="567"/>
        <w:jc w:val="both"/>
        <w:rPr>
          <w:rFonts w:ascii="Garamond" w:hAnsi="Garamond"/>
          <w:sz w:val="16"/>
          <w:szCs w:val="16"/>
        </w:rPr>
      </w:pPr>
      <w:r w:rsidRPr="009C7430">
        <w:rPr>
          <w:rFonts w:ascii="Garamond" w:hAnsi="Garamond"/>
          <w:sz w:val="22"/>
          <w:szCs w:val="22"/>
        </w:rPr>
        <w:t xml:space="preserve">FİRMA, işbu sözleşmenin taraflarca imzalanması ile birlikte, toplam sözleşme bedelinin %6’sı (yüzde altı) tutarında, süresiz, şartsız, kat’i ve görüldüğünde nakden ve defaten ödemeli teminat mektubunu, BİLGİ’ye teslim edecektir. </w:t>
      </w:r>
    </w:p>
    <w:p w14:paraId="1DA572A5" w14:textId="77777777" w:rsidR="00245AAD" w:rsidRPr="009C7430" w:rsidRDefault="00245AAD" w:rsidP="00245AAD">
      <w:pPr>
        <w:ind w:left="567"/>
        <w:jc w:val="both"/>
        <w:rPr>
          <w:rStyle w:val="CommentReference"/>
          <w:rFonts w:ascii="Garamond" w:hAnsi="Garamond"/>
        </w:rPr>
      </w:pPr>
    </w:p>
    <w:p w14:paraId="7C9B5A03" w14:textId="77777777" w:rsidR="0032438A" w:rsidRDefault="00245AAD" w:rsidP="0032438A">
      <w:pPr>
        <w:numPr>
          <w:ilvl w:val="1"/>
          <w:numId w:val="8"/>
        </w:numPr>
        <w:ind w:left="567" w:hanging="567"/>
        <w:jc w:val="both"/>
        <w:rPr>
          <w:rFonts w:ascii="Garamond" w:hAnsi="Garamond"/>
          <w:sz w:val="22"/>
          <w:szCs w:val="22"/>
        </w:rPr>
      </w:pPr>
      <w:bookmarkStart w:id="2" w:name="_Hlk13769554"/>
      <w:r w:rsidRPr="009C7430">
        <w:rPr>
          <w:rFonts w:ascii="Garamond" w:hAnsi="Garamond"/>
          <w:sz w:val="22"/>
          <w:szCs w:val="22"/>
        </w:rPr>
        <w:t xml:space="preserve">BİLGİ, FİRMA’nın işbu sözleşmeden doğan yükümlülüklerini sözleşme bitiş tarihie kadar eksiksiz ve tam bir şekilde yerine getirdiğini teyit etmesini mütakip 3 (üç) ay içerisinde teminat mektubunu FİRMA’ya iade edecektir.  </w:t>
      </w:r>
    </w:p>
    <w:p w14:paraId="6ED9157B" w14:textId="77777777" w:rsidR="0032438A" w:rsidRDefault="0032438A" w:rsidP="0032438A">
      <w:pPr>
        <w:pStyle w:val="ListParagraph"/>
        <w:rPr>
          <w:rFonts w:ascii="Garamond" w:hAnsi="Garamond"/>
          <w:sz w:val="22"/>
          <w:szCs w:val="22"/>
        </w:rPr>
      </w:pPr>
    </w:p>
    <w:p w14:paraId="3EA936E9" w14:textId="79B01EB8" w:rsidR="0032438A" w:rsidRDefault="0032438A" w:rsidP="0032438A">
      <w:pPr>
        <w:numPr>
          <w:ilvl w:val="1"/>
          <w:numId w:val="8"/>
        </w:numPr>
        <w:ind w:left="567" w:hanging="567"/>
        <w:jc w:val="both"/>
        <w:rPr>
          <w:rFonts w:ascii="Garamond" w:hAnsi="Garamond"/>
          <w:sz w:val="22"/>
          <w:szCs w:val="22"/>
        </w:rPr>
      </w:pPr>
      <w:r w:rsidRPr="0032438A">
        <w:rPr>
          <w:rFonts w:ascii="Garamond" w:hAnsi="Garamond"/>
          <w:sz w:val="22"/>
          <w:szCs w:val="22"/>
        </w:rPr>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r>
        <w:rPr>
          <w:rFonts w:ascii="Garamond" w:hAnsi="Garamond"/>
          <w:sz w:val="22"/>
          <w:szCs w:val="22"/>
        </w:rPr>
        <w:t>.</w:t>
      </w:r>
    </w:p>
    <w:p w14:paraId="7CAC5119" w14:textId="77777777" w:rsidR="0032438A" w:rsidRDefault="0032438A" w:rsidP="0032438A">
      <w:pPr>
        <w:pStyle w:val="ListParagraph"/>
        <w:rPr>
          <w:rFonts w:ascii="Garamond" w:hAnsi="Garamond"/>
          <w:sz w:val="22"/>
          <w:szCs w:val="22"/>
        </w:rPr>
      </w:pPr>
    </w:p>
    <w:p w14:paraId="76FA54F3" w14:textId="77777777" w:rsidR="0032438A" w:rsidRDefault="0032438A" w:rsidP="0032438A">
      <w:pPr>
        <w:numPr>
          <w:ilvl w:val="1"/>
          <w:numId w:val="8"/>
        </w:numPr>
        <w:ind w:left="567" w:hanging="567"/>
        <w:jc w:val="both"/>
        <w:rPr>
          <w:rFonts w:ascii="Garamond" w:hAnsi="Garamond"/>
          <w:sz w:val="22"/>
          <w:szCs w:val="22"/>
        </w:rPr>
      </w:pPr>
      <w:r w:rsidRPr="0032438A">
        <w:rPr>
          <w:rFonts w:ascii="Garamond" w:hAnsi="Garamond"/>
          <w:sz w:val="22"/>
          <w:szCs w:val="22"/>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7C99E88F" w14:textId="77777777" w:rsidR="0032438A" w:rsidRDefault="0032438A" w:rsidP="0032438A">
      <w:pPr>
        <w:pStyle w:val="ListParagraph"/>
        <w:rPr>
          <w:rFonts w:ascii="Garamond" w:hAnsi="Garamond"/>
          <w:b/>
          <w:sz w:val="22"/>
          <w:szCs w:val="22"/>
        </w:rPr>
      </w:pPr>
    </w:p>
    <w:p w14:paraId="4AE2C3E8" w14:textId="377BA093" w:rsidR="0032438A" w:rsidRPr="0032438A" w:rsidRDefault="0032438A" w:rsidP="0032438A">
      <w:pPr>
        <w:numPr>
          <w:ilvl w:val="1"/>
          <w:numId w:val="8"/>
        </w:numPr>
        <w:ind w:left="567" w:hanging="567"/>
        <w:jc w:val="both"/>
        <w:rPr>
          <w:rFonts w:ascii="Garamond" w:hAnsi="Garamond"/>
          <w:sz w:val="22"/>
          <w:szCs w:val="22"/>
        </w:rPr>
      </w:pPr>
      <w:r w:rsidRPr="0032438A">
        <w:rPr>
          <w:rFonts w:ascii="Garamond" w:hAnsi="Garamond"/>
          <w:sz w:val="22"/>
          <w:szCs w:val="22"/>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bookmarkEnd w:id="2"/>
    <w:p w14:paraId="1A82CADF" w14:textId="77777777" w:rsidR="00202EBA" w:rsidRPr="00202EBA" w:rsidRDefault="00202EBA" w:rsidP="00202EBA">
      <w:pPr>
        <w:rPr>
          <w:rFonts w:ascii="Garamond" w:hAnsi="Garamond"/>
          <w:sz w:val="22"/>
          <w:szCs w:val="22"/>
        </w:rPr>
      </w:pPr>
    </w:p>
    <w:p w14:paraId="0510860D" w14:textId="173141A2" w:rsidR="00572224" w:rsidRPr="00245AAD" w:rsidRDefault="00572224" w:rsidP="00245AAD">
      <w:pPr>
        <w:pStyle w:val="ListParagraph"/>
        <w:numPr>
          <w:ilvl w:val="0"/>
          <w:numId w:val="8"/>
        </w:numPr>
        <w:jc w:val="both"/>
        <w:outlineLvl w:val="0"/>
        <w:rPr>
          <w:rFonts w:ascii="Garamond" w:hAnsi="Garamond"/>
          <w:b/>
          <w:sz w:val="22"/>
          <w:szCs w:val="22"/>
        </w:rPr>
      </w:pPr>
      <w:r w:rsidRPr="00245AAD">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429E9DF3" w14:textId="6CA11C40" w:rsidR="00572224" w:rsidRDefault="00572224" w:rsidP="00572224">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 xml:space="preserve">belirtilen tarihlerde </w:t>
      </w:r>
      <w:r>
        <w:rPr>
          <w:rFonts w:ascii="Garamond" w:hAnsi="Garamond"/>
          <w:sz w:val="22"/>
          <w:szCs w:val="22"/>
        </w:rPr>
        <w:t xml:space="preserve">teslim etmemesi </w:t>
      </w:r>
      <w:r w:rsidRPr="00EA1012">
        <w:rPr>
          <w:rFonts w:ascii="Garamond" w:hAnsi="Garamond"/>
          <w:sz w:val="22"/>
          <w:szCs w:val="22"/>
        </w:rPr>
        <w:t xml:space="preserve">durumunda, gecikilen her gün için </w:t>
      </w:r>
      <w:r w:rsidR="00D364F4">
        <w:rPr>
          <w:rFonts w:ascii="Garamond" w:hAnsi="Garamond"/>
          <w:sz w:val="22"/>
          <w:szCs w:val="22"/>
        </w:rPr>
        <w:t xml:space="preserve">toplam </w:t>
      </w:r>
      <w:r w:rsidRPr="00EA1012">
        <w:rPr>
          <w:rFonts w:ascii="Garamond" w:hAnsi="Garamond"/>
          <w:sz w:val="22"/>
          <w:szCs w:val="22"/>
        </w:rPr>
        <w:t>sözleşme bedelinin % 0,3</w:t>
      </w:r>
      <w:r w:rsidR="00D364F4">
        <w:rPr>
          <w:rFonts w:ascii="Garamond" w:hAnsi="Garamond"/>
          <w:sz w:val="22"/>
          <w:szCs w:val="22"/>
        </w:rPr>
        <w:t>’ü</w:t>
      </w:r>
      <w:r w:rsidRPr="00EA1012">
        <w:rPr>
          <w:rFonts w:ascii="Garamond" w:hAnsi="Garamond"/>
          <w:sz w:val="22"/>
          <w:szCs w:val="22"/>
        </w:rPr>
        <w:t xml:space="preserve"> (binde üç)</w:t>
      </w:r>
      <w:r w:rsidR="00D364F4">
        <w:rPr>
          <w:rFonts w:ascii="Garamond" w:hAnsi="Garamond"/>
          <w:sz w:val="22"/>
          <w:szCs w:val="22"/>
        </w:rPr>
        <w:t xml:space="preserve"> oranında</w:t>
      </w:r>
      <w:r w:rsidRPr="00EA1012">
        <w:rPr>
          <w:rFonts w:ascii="Garamond" w:hAnsi="Garamond"/>
          <w:sz w:val="22"/>
          <w:szCs w:val="22"/>
        </w:rPr>
        <w:t xml:space="preserve"> ceza ödemeyi kabul ve taahhüt eder. Bu meblağ hiçbir yazılı ihtara gerek olmadan BİLGİ’nin bildireceği hesap numarasına en geç </w:t>
      </w:r>
      <w:r w:rsidR="009C4FDF">
        <w:rPr>
          <w:rFonts w:ascii="Garamond" w:hAnsi="Garamond"/>
          <w:sz w:val="22"/>
          <w:szCs w:val="22"/>
        </w:rPr>
        <w:t>7</w:t>
      </w:r>
      <w:r w:rsidR="00D364F4">
        <w:rPr>
          <w:rFonts w:ascii="Garamond" w:hAnsi="Garamond"/>
          <w:sz w:val="22"/>
          <w:szCs w:val="22"/>
        </w:rPr>
        <w:t xml:space="preserve"> (</w:t>
      </w:r>
      <w:r w:rsidR="009C4FDF">
        <w:rPr>
          <w:rFonts w:ascii="Garamond" w:hAnsi="Garamond"/>
          <w:sz w:val="22"/>
          <w:szCs w:val="22"/>
        </w:rPr>
        <w:t>yedi</w:t>
      </w:r>
      <w:r w:rsidR="00D364F4">
        <w:rPr>
          <w:rFonts w:ascii="Garamond" w:hAnsi="Garamond"/>
          <w:sz w:val="22"/>
          <w:szCs w:val="22"/>
        </w:rPr>
        <w:t>)</w:t>
      </w:r>
      <w:r w:rsidRPr="00EA1012">
        <w:rPr>
          <w:rFonts w:ascii="Garamond" w:hAnsi="Garamond"/>
          <w:sz w:val="22"/>
          <w:szCs w:val="22"/>
        </w:rPr>
        <w:t xml:space="preserve"> gün içerisinde FİRMA tarafından yatırılacaktır. Taraflar bu hususu karşılıklı olarak kabul ve taahhüt ederler.</w:t>
      </w:r>
    </w:p>
    <w:p w14:paraId="4312D912" w14:textId="1DADEEC5" w:rsidR="0020631E" w:rsidRDefault="0020631E" w:rsidP="0020631E">
      <w:pPr>
        <w:rPr>
          <w:rFonts w:ascii="Garamond" w:hAnsi="Garamond"/>
          <w:sz w:val="22"/>
          <w:szCs w:val="22"/>
        </w:rPr>
      </w:pPr>
    </w:p>
    <w:p w14:paraId="5819A2B7"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60CEE7B2" w:rsidR="00572224" w:rsidRDefault="00572224" w:rsidP="00572224">
      <w:pPr>
        <w:pStyle w:val="BodyText"/>
        <w:spacing w:before="0"/>
        <w:rPr>
          <w:rFonts w:ascii="Garamond" w:hAnsi="Garamond"/>
          <w:sz w:val="22"/>
          <w:szCs w:val="22"/>
        </w:rPr>
      </w:pPr>
    </w:p>
    <w:p w14:paraId="7C9B7A0B" w14:textId="77777777" w:rsidR="00202EBA" w:rsidRPr="00EA1012" w:rsidRDefault="00202EBA" w:rsidP="00572224">
      <w:pPr>
        <w:pStyle w:val="BodyText"/>
        <w:spacing w:before="0"/>
        <w:rPr>
          <w:rFonts w:ascii="Garamond" w:hAnsi="Garamond"/>
          <w:sz w:val="22"/>
          <w:szCs w:val="22"/>
        </w:rPr>
      </w:pPr>
    </w:p>
    <w:p w14:paraId="6DFF2185"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3A5E4CA" w:rsidR="00572224" w:rsidRDefault="00572224" w:rsidP="00572224">
      <w:pPr>
        <w:jc w:val="both"/>
        <w:rPr>
          <w:rFonts w:ascii="Garamond" w:hAnsi="Garamond"/>
          <w:sz w:val="22"/>
          <w:szCs w:val="22"/>
        </w:rPr>
      </w:pPr>
    </w:p>
    <w:p w14:paraId="3E470FB2" w14:textId="77777777" w:rsidR="00202EBA" w:rsidRPr="00EA1012" w:rsidRDefault="00202EBA" w:rsidP="00572224">
      <w:pPr>
        <w:jc w:val="both"/>
        <w:rPr>
          <w:rFonts w:ascii="Garamond" w:hAnsi="Garamond"/>
          <w:sz w:val="22"/>
          <w:szCs w:val="22"/>
        </w:rPr>
      </w:pPr>
    </w:p>
    <w:p w14:paraId="55ED1621"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152A92F7" w:rsidR="00572224"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1D54B824" w14:textId="56290F93" w:rsidR="00B92289" w:rsidRDefault="00B92289" w:rsidP="00572224">
      <w:pPr>
        <w:jc w:val="both"/>
        <w:rPr>
          <w:rFonts w:ascii="Garamond" w:hAnsi="Garamond"/>
          <w:sz w:val="22"/>
          <w:szCs w:val="22"/>
        </w:rPr>
      </w:pPr>
    </w:p>
    <w:p w14:paraId="2F2110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31CFAA7" w:rsidR="00572224" w:rsidRDefault="00572224" w:rsidP="00572224">
      <w:pPr>
        <w:jc w:val="both"/>
        <w:rPr>
          <w:rFonts w:ascii="Garamond" w:hAnsi="Garamond"/>
          <w:sz w:val="22"/>
          <w:szCs w:val="22"/>
        </w:rPr>
      </w:pPr>
    </w:p>
    <w:p w14:paraId="39C8CFA8" w14:textId="77777777" w:rsidR="00202EBA" w:rsidRPr="00EA1012" w:rsidRDefault="00202EBA" w:rsidP="00572224">
      <w:pPr>
        <w:jc w:val="both"/>
        <w:rPr>
          <w:rFonts w:ascii="Garamond" w:hAnsi="Garamond"/>
          <w:sz w:val="22"/>
          <w:szCs w:val="22"/>
        </w:rPr>
      </w:pPr>
    </w:p>
    <w:p w14:paraId="079E839A"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67D32497" w:rsidR="00572224" w:rsidRDefault="00572224" w:rsidP="00572224">
      <w:pPr>
        <w:jc w:val="both"/>
        <w:rPr>
          <w:rFonts w:ascii="Garamond" w:hAnsi="Garamond"/>
          <w:sz w:val="22"/>
          <w:szCs w:val="22"/>
        </w:rPr>
      </w:pPr>
    </w:p>
    <w:p w14:paraId="2A2F966A" w14:textId="77777777" w:rsidR="00202EBA" w:rsidRPr="00EA1012" w:rsidRDefault="00202EBA" w:rsidP="00572224">
      <w:pPr>
        <w:jc w:val="both"/>
        <w:rPr>
          <w:rFonts w:ascii="Garamond" w:hAnsi="Garamond"/>
          <w:sz w:val="22"/>
          <w:szCs w:val="22"/>
        </w:rPr>
      </w:pPr>
    </w:p>
    <w:p w14:paraId="7A5BC8D0"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6300C280" w:rsidR="00572224" w:rsidRDefault="00572224" w:rsidP="00572224">
      <w:pPr>
        <w:jc w:val="both"/>
        <w:rPr>
          <w:rFonts w:ascii="Garamond" w:hAnsi="Garamond"/>
          <w:sz w:val="22"/>
          <w:szCs w:val="22"/>
        </w:rPr>
      </w:pPr>
    </w:p>
    <w:p w14:paraId="2F328710" w14:textId="77777777" w:rsidR="005B53FD" w:rsidRPr="00EA1012" w:rsidRDefault="005B53FD" w:rsidP="00572224">
      <w:pPr>
        <w:jc w:val="both"/>
        <w:rPr>
          <w:rFonts w:ascii="Garamond" w:hAnsi="Garamond"/>
          <w:sz w:val="22"/>
          <w:szCs w:val="22"/>
        </w:rPr>
      </w:pPr>
    </w:p>
    <w:p w14:paraId="3963B0FA" w14:textId="77777777" w:rsidR="00572224" w:rsidRPr="00EA1012" w:rsidRDefault="00572224" w:rsidP="00245AAD">
      <w:pPr>
        <w:numPr>
          <w:ilvl w:val="0"/>
          <w:numId w:val="8"/>
        </w:numPr>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08106776" w:rsidR="00572224" w:rsidRPr="00EA1012" w:rsidRDefault="00572224" w:rsidP="00572224">
      <w:pPr>
        <w:numPr>
          <w:ilvl w:val="0"/>
          <w:numId w:val="5"/>
        </w:numPr>
        <w:jc w:val="both"/>
        <w:rPr>
          <w:rFonts w:ascii="Garamond" w:hAnsi="Garamond"/>
          <w:sz w:val="22"/>
          <w:szCs w:val="22"/>
        </w:rPr>
      </w:pPr>
      <w:r>
        <w:rPr>
          <w:rFonts w:ascii="Garamond" w:hAnsi="Garamond"/>
          <w:sz w:val="22"/>
          <w:szCs w:val="22"/>
        </w:rPr>
        <w:t>Ürün Teklifi (EK-3)</w:t>
      </w:r>
    </w:p>
    <w:p w14:paraId="5C540290" w14:textId="36D10C69" w:rsidR="00572224" w:rsidRDefault="00572224" w:rsidP="00572224">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02EB4DAD" w14:textId="77777777" w:rsidR="00BE3353" w:rsidRDefault="00BE3353" w:rsidP="00BE3353">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0CD5D8D0" w14:textId="22553E32" w:rsidR="00BE3353" w:rsidRPr="00BE3353" w:rsidRDefault="00BE3353" w:rsidP="00BE3353">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1DF33DA9"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306F4C66" w14:textId="77777777" w:rsidR="00100A8F" w:rsidRPr="00EA1012" w:rsidRDefault="00100A8F" w:rsidP="00572224">
      <w:pPr>
        <w:jc w:val="both"/>
        <w:rPr>
          <w:rFonts w:ascii="Garamond" w:hAnsi="Garamond"/>
          <w:sz w:val="22"/>
          <w:szCs w:val="22"/>
        </w:rPr>
      </w:pPr>
    </w:p>
    <w:p w14:paraId="376D95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298E100E"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B4AFF" w14:textId="77777777" w:rsidR="001076CB" w:rsidRDefault="001076CB" w:rsidP="0020631E">
      <w:r>
        <w:separator/>
      </w:r>
    </w:p>
  </w:endnote>
  <w:endnote w:type="continuationSeparator" w:id="0">
    <w:p w14:paraId="2F9C0D4E" w14:textId="77777777" w:rsidR="001076CB" w:rsidRDefault="001076CB"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4567" w14:textId="77777777" w:rsidR="007B5E2D" w:rsidRDefault="007B5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63AD1BB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007B5E2D">
              <w:rPr>
                <w:rFonts w:ascii="Garamond" w:hAnsi="Garamond"/>
                <w:b/>
                <w:bCs/>
                <w:noProof/>
                <w:sz w:val="20"/>
                <w:szCs w:val="20"/>
              </w:rPr>
              <w:t>1</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007B5E2D">
              <w:rPr>
                <w:rFonts w:ascii="Garamond" w:hAnsi="Garamond"/>
                <w:b/>
                <w:bCs/>
                <w:noProof/>
                <w:sz w:val="20"/>
                <w:szCs w:val="20"/>
              </w:rPr>
              <w:t>4</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F7A0" w14:textId="77777777" w:rsidR="007B5E2D" w:rsidRDefault="007B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791F8" w14:textId="77777777" w:rsidR="001076CB" w:rsidRDefault="001076CB" w:rsidP="0020631E">
      <w:r>
        <w:separator/>
      </w:r>
    </w:p>
  </w:footnote>
  <w:footnote w:type="continuationSeparator" w:id="0">
    <w:p w14:paraId="30714DFD" w14:textId="77777777" w:rsidR="001076CB" w:rsidRDefault="001076CB"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EFE7" w14:textId="51F6F955" w:rsidR="0020631E" w:rsidRDefault="001076CB">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AF41" w14:textId="020AED20" w:rsidR="007B5E2D" w:rsidRDefault="007B5E2D">
    <w:pPr>
      <w:pStyle w:val="Header"/>
    </w:pPr>
    <w:r>
      <w:t>İhale Adı: Öğrenci Dosyası ve Diploma Çantası İhalesi</w:t>
    </w:r>
  </w:p>
  <w:p w14:paraId="78379EEB" w14:textId="46A51D04" w:rsidR="007B5E2D" w:rsidRDefault="007B5E2D">
    <w:pPr>
      <w:pStyle w:val="Header"/>
    </w:pPr>
    <w:r>
      <w:t>İhale Numarası : 202005002</w:t>
    </w:r>
  </w:p>
  <w:p w14:paraId="37F8489F" w14:textId="3A93ACBB" w:rsidR="0020631E" w:rsidRDefault="001076CB">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4CB2" w14:textId="0AEAEA96" w:rsidR="0020631E" w:rsidRDefault="001076CB">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820CA28"/>
    <w:lvl w:ilvl="0">
      <w:start w:val="6"/>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66CD09CA"/>
    <w:multiLevelType w:val="multilevel"/>
    <w:tmpl w:val="2B42CB34"/>
    <w:lvl w:ilvl="0">
      <w:start w:val="1"/>
      <w:numFmt w:val="decimal"/>
      <w:lvlText w:val="%1."/>
      <w:lvlJc w:val="left"/>
      <w:pPr>
        <w:ind w:left="720" w:hanging="360"/>
      </w:pPr>
      <w:rPr>
        <w:rFonts w:hint="default"/>
        <w:b/>
      </w:rPr>
    </w:lvl>
    <w:lvl w:ilvl="1">
      <w:start w:val="2"/>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B841E6"/>
    <w:multiLevelType w:val="hybridMultilevel"/>
    <w:tmpl w:val="B8760DE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6"/>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95"/>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24"/>
    <w:rsid w:val="000D6485"/>
    <w:rsid w:val="00100A8F"/>
    <w:rsid w:val="00102B4B"/>
    <w:rsid w:val="001076CB"/>
    <w:rsid w:val="001E37F4"/>
    <w:rsid w:val="00202EBA"/>
    <w:rsid w:val="0020631E"/>
    <w:rsid w:val="00212D18"/>
    <w:rsid w:val="00245AAD"/>
    <w:rsid w:val="002B3FEB"/>
    <w:rsid w:val="00315605"/>
    <w:rsid w:val="0031582E"/>
    <w:rsid w:val="0032438A"/>
    <w:rsid w:val="00350117"/>
    <w:rsid w:val="00377899"/>
    <w:rsid w:val="003A0604"/>
    <w:rsid w:val="003E6838"/>
    <w:rsid w:val="004064B5"/>
    <w:rsid w:val="00415EBA"/>
    <w:rsid w:val="00444ED7"/>
    <w:rsid w:val="00455753"/>
    <w:rsid w:val="00462D6A"/>
    <w:rsid w:val="004957BD"/>
    <w:rsid w:val="004A1EE3"/>
    <w:rsid w:val="004A41C6"/>
    <w:rsid w:val="0054414B"/>
    <w:rsid w:val="005714E0"/>
    <w:rsid w:val="00572224"/>
    <w:rsid w:val="005B53FD"/>
    <w:rsid w:val="00641D26"/>
    <w:rsid w:val="007B5E2D"/>
    <w:rsid w:val="00834989"/>
    <w:rsid w:val="0087717A"/>
    <w:rsid w:val="00896EA5"/>
    <w:rsid w:val="0091714B"/>
    <w:rsid w:val="00930401"/>
    <w:rsid w:val="00987EBE"/>
    <w:rsid w:val="009C4FDF"/>
    <w:rsid w:val="009D1701"/>
    <w:rsid w:val="00AE4CFC"/>
    <w:rsid w:val="00B0156C"/>
    <w:rsid w:val="00B07FA4"/>
    <w:rsid w:val="00B92289"/>
    <w:rsid w:val="00BB3855"/>
    <w:rsid w:val="00BD6247"/>
    <w:rsid w:val="00BE3353"/>
    <w:rsid w:val="00C30E62"/>
    <w:rsid w:val="00C37819"/>
    <w:rsid w:val="00C73DD6"/>
    <w:rsid w:val="00C929EA"/>
    <w:rsid w:val="00D364F4"/>
    <w:rsid w:val="00E467B7"/>
    <w:rsid w:val="00E575CC"/>
    <w:rsid w:val="00F57DB5"/>
    <w:rsid w:val="00F634BB"/>
    <w:rsid w:val="00F70C1F"/>
    <w:rsid w:val="00FC1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359">
      <w:bodyDiv w:val="1"/>
      <w:marLeft w:val="0"/>
      <w:marRight w:val="0"/>
      <w:marTop w:val="0"/>
      <w:marBottom w:val="0"/>
      <w:divBdr>
        <w:top w:val="none" w:sz="0" w:space="0" w:color="auto"/>
        <w:left w:val="none" w:sz="0" w:space="0" w:color="auto"/>
        <w:bottom w:val="none" w:sz="0" w:space="0" w:color="auto"/>
        <w:right w:val="none" w:sz="0" w:space="0" w:color="auto"/>
      </w:divBdr>
    </w:div>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294D-E333-4314-900C-2E57BEDE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Gamze Erdem</cp:lastModifiedBy>
  <cp:revision>4</cp:revision>
  <dcterms:created xsi:type="dcterms:W3CDTF">2020-04-27T12:44:00Z</dcterms:created>
  <dcterms:modified xsi:type="dcterms:W3CDTF">2020-04-28T21:16:00Z</dcterms:modified>
</cp:coreProperties>
</file>